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tblInd w:w="720" w:type="dxa"/>
        <w:tblLook w:val="04A0" w:firstRow="1" w:lastRow="0" w:firstColumn="1" w:lastColumn="0" w:noHBand="0" w:noVBand="1"/>
      </w:tblPr>
      <w:tblGrid>
        <w:gridCol w:w="9152"/>
      </w:tblGrid>
      <w:tr w:rsidR="00FA1FFC" w:rsidRPr="00FA1FFC" w14:paraId="0179F225" w14:textId="77777777" w:rsidTr="00FA1FFC">
        <w:tc>
          <w:tcPr>
            <w:tcW w:w="9212" w:type="dxa"/>
          </w:tcPr>
          <w:p w14:paraId="5852F47B" w14:textId="77777777" w:rsidR="00FA1FFC" w:rsidRPr="00F52029" w:rsidRDefault="00FA1FFC" w:rsidP="00FA1FFC">
            <w:pPr>
              <w:pStyle w:val="Loendilik"/>
              <w:numPr>
                <w:ilvl w:val="0"/>
                <w:numId w:val="1"/>
              </w:numPr>
              <w:rPr>
                <w:rFonts w:ascii="Arial" w:hAnsi="Arial" w:cs="Arial"/>
                <w:b/>
                <w:color w:val="00B050"/>
              </w:rPr>
            </w:pPr>
            <w:r w:rsidRPr="00F52029">
              <w:rPr>
                <w:rFonts w:ascii="Arial" w:hAnsi="Arial" w:cs="Arial"/>
                <w:b/>
                <w:color w:val="00B050"/>
              </w:rPr>
              <w:t>Strateegia meetme nimetus</w:t>
            </w:r>
          </w:p>
        </w:tc>
      </w:tr>
      <w:tr w:rsidR="00FA1FFC" w:rsidRPr="00FA1FFC" w14:paraId="399F36FC" w14:textId="77777777" w:rsidTr="00FA1FFC">
        <w:tc>
          <w:tcPr>
            <w:tcW w:w="9212" w:type="dxa"/>
          </w:tcPr>
          <w:p w14:paraId="3E4B38A7" w14:textId="77777777" w:rsidR="00FA1FFC" w:rsidRPr="00F52029" w:rsidRDefault="00FA1FFC" w:rsidP="00FA1FFC">
            <w:pPr>
              <w:pStyle w:val="Loendilik"/>
              <w:rPr>
                <w:rFonts w:ascii="Arial" w:hAnsi="Arial" w:cs="Arial"/>
              </w:rPr>
            </w:pPr>
          </w:p>
          <w:p w14:paraId="66C935E2" w14:textId="281C3276" w:rsidR="00EF5791" w:rsidRPr="00F52029" w:rsidRDefault="0028601B" w:rsidP="00EF5791">
            <w:pPr>
              <w:pStyle w:val="Loendilik"/>
              <w:rPr>
                <w:rFonts w:ascii="Arial" w:hAnsi="Arial" w:cs="Arial"/>
                <w:color w:val="333333"/>
                <w:shd w:val="clear" w:color="auto" w:fill="FFFFFF"/>
              </w:rPr>
            </w:pPr>
            <w:r w:rsidRPr="00F52029">
              <w:rPr>
                <w:rFonts w:ascii="Arial" w:hAnsi="Arial" w:cs="Arial"/>
              </w:rPr>
              <w:t xml:space="preserve">3.MAAKONDLIK MEEDE: 3. </w:t>
            </w:r>
            <w:r w:rsidRPr="00F52029">
              <w:rPr>
                <w:rFonts w:ascii="Arial" w:hAnsi="Arial" w:cs="Arial"/>
                <w:color w:val="333333"/>
                <w:shd w:val="clear" w:color="auto" w:fill="FFFFFF"/>
              </w:rPr>
              <w:t>Maakondlike ühisprojektide ja koolituste meede</w:t>
            </w:r>
          </w:p>
          <w:p w14:paraId="502514E3" w14:textId="77777777" w:rsidR="0028601B" w:rsidRPr="00F52029" w:rsidRDefault="0028601B" w:rsidP="00EF5791">
            <w:pPr>
              <w:pStyle w:val="Loendilik"/>
              <w:rPr>
                <w:rFonts w:ascii="Arial" w:hAnsi="Arial" w:cs="Arial"/>
              </w:rPr>
            </w:pPr>
          </w:p>
        </w:tc>
      </w:tr>
      <w:tr w:rsidR="00FA1FFC" w:rsidRPr="00FA1FFC" w14:paraId="12363BF1" w14:textId="77777777" w:rsidTr="00FA1FFC">
        <w:tc>
          <w:tcPr>
            <w:tcW w:w="9212" w:type="dxa"/>
          </w:tcPr>
          <w:p w14:paraId="2C0D3851" w14:textId="77777777" w:rsidR="00FA1FFC" w:rsidRPr="00F52029" w:rsidRDefault="00FA1FFC" w:rsidP="00FA1FFC">
            <w:pPr>
              <w:pStyle w:val="Loendilik"/>
              <w:numPr>
                <w:ilvl w:val="0"/>
                <w:numId w:val="1"/>
              </w:numPr>
              <w:rPr>
                <w:rFonts w:ascii="Arial" w:hAnsi="Arial" w:cs="Arial"/>
                <w:b/>
                <w:color w:val="00B050"/>
              </w:rPr>
            </w:pPr>
            <w:r w:rsidRPr="00F52029">
              <w:rPr>
                <w:rFonts w:ascii="Arial" w:hAnsi="Arial" w:cs="Arial"/>
                <w:b/>
                <w:color w:val="00B050"/>
              </w:rPr>
              <w:t>Strateegia meetme rakendamise vajaduse lühikirjeldus</w:t>
            </w:r>
          </w:p>
        </w:tc>
      </w:tr>
      <w:tr w:rsidR="00FA1FFC" w:rsidRPr="00FA1FFC" w14:paraId="4521EC7E" w14:textId="77777777" w:rsidTr="00FA1FFC">
        <w:tc>
          <w:tcPr>
            <w:tcW w:w="9212" w:type="dxa"/>
          </w:tcPr>
          <w:p w14:paraId="45A64F16" w14:textId="77777777" w:rsidR="00FA1FFC" w:rsidRPr="00F52029" w:rsidRDefault="00FA1FFC" w:rsidP="00FA1FFC">
            <w:pPr>
              <w:pStyle w:val="Loendilik"/>
              <w:rPr>
                <w:rFonts w:ascii="Arial" w:hAnsi="Arial" w:cs="Arial"/>
              </w:rPr>
            </w:pPr>
          </w:p>
          <w:p w14:paraId="1834E439" w14:textId="77777777" w:rsidR="00EF5791" w:rsidRPr="00F52029" w:rsidRDefault="009944E2"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Vajalik on panustada enam turismiettevõtjate koolitusvõimalustesse ning toetada nende ühistegevust, ühisturundust ja teenuste kvaliteedi tõstmist, sh turismiasjaliste võrgustiku arendamist. Maakonna maine on madal, kuna puudub tugev ühtne märk. Oluline oleks toetada brändiloomist ja arendada turismivaldkonna inimeste turundusalaseid oskusi ja teadmisi, toetada traditsiooniliste ürituste toimimist ning uute märgiliste ürituste algatamist. Maale elama tulekuks toetada turundusalaseid algatusi. Vajalik on toetada ettevõtjate koostöövõrgustike loomist ja arendamist ühise tootearenduse ja turunduse eesmärgil. Ettevõtlikkuse suurendamiseks toetada koolituste, õppereiside läbiviimist ning mentorlust, sh tegevusi noorte ettevõtlikkuse suurendamiseks.</w:t>
            </w:r>
          </w:p>
          <w:p w14:paraId="40242165" w14:textId="77777777" w:rsidR="009944E2" w:rsidRPr="00F52029" w:rsidRDefault="009944E2" w:rsidP="00FA1FFC">
            <w:pPr>
              <w:pStyle w:val="Loendilik"/>
              <w:rPr>
                <w:rFonts w:ascii="Arial" w:hAnsi="Arial" w:cs="Arial"/>
              </w:rPr>
            </w:pPr>
          </w:p>
        </w:tc>
      </w:tr>
      <w:tr w:rsidR="00FA1FFC" w:rsidRPr="00FA1FFC" w14:paraId="1356E7AF" w14:textId="77777777" w:rsidTr="00FA1FFC">
        <w:tc>
          <w:tcPr>
            <w:tcW w:w="9212" w:type="dxa"/>
          </w:tcPr>
          <w:p w14:paraId="417A7E95"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Strateegia meetme eesmärk</w:t>
            </w:r>
          </w:p>
        </w:tc>
      </w:tr>
      <w:tr w:rsidR="00FA1FFC" w:rsidRPr="00FA1FFC" w14:paraId="4466E63D" w14:textId="77777777" w:rsidTr="00FA1FFC">
        <w:tc>
          <w:tcPr>
            <w:tcW w:w="9212" w:type="dxa"/>
          </w:tcPr>
          <w:p w14:paraId="0802D7FB" w14:textId="77777777" w:rsidR="00FA1FFC" w:rsidRPr="00F52029" w:rsidRDefault="00FA1FFC" w:rsidP="00FA1FFC">
            <w:pPr>
              <w:pStyle w:val="Loendilik"/>
              <w:rPr>
                <w:rFonts w:ascii="Arial" w:hAnsi="Arial" w:cs="Arial"/>
                <w:color w:val="333333"/>
                <w:shd w:val="clear" w:color="auto" w:fill="FFFFFF"/>
              </w:rPr>
            </w:pPr>
          </w:p>
          <w:p w14:paraId="70245C85" w14:textId="77777777" w:rsidR="009944E2" w:rsidRPr="00F52029" w:rsidRDefault="009944E2" w:rsidP="009944E2">
            <w:pPr>
              <w:pStyle w:val="Loendilik"/>
              <w:numPr>
                <w:ilvl w:val="0"/>
                <w:numId w:val="4"/>
              </w:numPr>
              <w:rPr>
                <w:rFonts w:ascii="Arial" w:hAnsi="Arial" w:cs="Arial"/>
              </w:rPr>
            </w:pPr>
            <w:r w:rsidRPr="00F52029">
              <w:rPr>
                <w:rFonts w:ascii="Arial" w:hAnsi="Arial" w:cs="Arial"/>
                <w:color w:val="333333"/>
                <w:shd w:val="clear" w:color="auto" w:fill="FFFFFF"/>
              </w:rPr>
              <w:t>Tegevuspiirkond tervikuna on tuntud kui atraktiivne ja huvitav sihtkoht külastajatele</w:t>
            </w:r>
          </w:p>
          <w:p w14:paraId="3DFE5E31" w14:textId="77777777" w:rsidR="009944E2" w:rsidRPr="00F52029" w:rsidRDefault="009944E2" w:rsidP="009944E2">
            <w:pPr>
              <w:pStyle w:val="Loendilik"/>
              <w:numPr>
                <w:ilvl w:val="0"/>
                <w:numId w:val="4"/>
              </w:numPr>
              <w:rPr>
                <w:rFonts w:ascii="Arial" w:hAnsi="Arial" w:cs="Arial"/>
              </w:rPr>
            </w:pPr>
            <w:r w:rsidRPr="00F52029">
              <w:rPr>
                <w:rFonts w:ascii="Arial" w:hAnsi="Arial" w:cs="Arial"/>
                <w:color w:val="333333"/>
                <w:shd w:val="clear" w:color="auto" w:fill="FFFFFF"/>
              </w:rPr>
              <w:t>Kogukondade aktiivsus on suurenenud läbi ühistegevuse ja koostöö</w:t>
            </w:r>
          </w:p>
          <w:p w14:paraId="62704BA6" w14:textId="77777777" w:rsidR="009944E2" w:rsidRPr="00F52029" w:rsidRDefault="009944E2" w:rsidP="009944E2">
            <w:pPr>
              <w:pStyle w:val="Loendilik"/>
              <w:numPr>
                <w:ilvl w:val="0"/>
                <w:numId w:val="4"/>
              </w:numPr>
              <w:rPr>
                <w:rFonts w:ascii="Arial" w:hAnsi="Arial" w:cs="Arial"/>
              </w:rPr>
            </w:pPr>
            <w:r w:rsidRPr="00F52029">
              <w:rPr>
                <w:rFonts w:ascii="Arial" w:hAnsi="Arial" w:cs="Arial"/>
                <w:color w:val="333333"/>
                <w:shd w:val="clear" w:color="auto" w:fill="FFFFFF"/>
              </w:rPr>
              <w:t>Noored on kogukonda kaasatud ning neile on loodud head eeldused omaalgatuse ja ettevõtlikkuse kasvuks</w:t>
            </w:r>
          </w:p>
          <w:p w14:paraId="091314F2" w14:textId="77777777" w:rsidR="009944E2" w:rsidRPr="00F52029" w:rsidRDefault="009944E2" w:rsidP="009944E2">
            <w:pPr>
              <w:pStyle w:val="Loendilik"/>
              <w:numPr>
                <w:ilvl w:val="0"/>
                <w:numId w:val="4"/>
              </w:numPr>
              <w:rPr>
                <w:rFonts w:ascii="Arial" w:hAnsi="Arial" w:cs="Arial"/>
              </w:rPr>
            </w:pPr>
            <w:r w:rsidRPr="00F52029">
              <w:rPr>
                <w:rFonts w:ascii="Arial" w:hAnsi="Arial" w:cs="Arial"/>
                <w:color w:val="333333"/>
                <w:shd w:val="clear" w:color="auto" w:fill="FFFFFF"/>
              </w:rPr>
              <w:t xml:space="preserve">Toimiv ettevõtjate vaheline koostöö turunduse ja tootearenduse valdkonnas </w:t>
            </w:r>
          </w:p>
          <w:p w14:paraId="3C174222" w14:textId="77777777" w:rsidR="009944E2" w:rsidRPr="00F52029" w:rsidRDefault="009944E2" w:rsidP="009944E2">
            <w:pPr>
              <w:pStyle w:val="Loendilik"/>
              <w:rPr>
                <w:rFonts w:ascii="Arial" w:hAnsi="Arial" w:cs="Arial"/>
                <w:color w:val="333333"/>
                <w:shd w:val="clear" w:color="auto" w:fill="FFFFFF"/>
              </w:rPr>
            </w:pPr>
          </w:p>
          <w:p w14:paraId="6350F15C" w14:textId="77777777" w:rsidR="009944E2" w:rsidRPr="00F52029" w:rsidRDefault="009944E2" w:rsidP="009944E2">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Meede aitab kaasa maaelu arengut käsitleva liidu järgmistele prioriteetidele: </w:t>
            </w:r>
          </w:p>
          <w:p w14:paraId="33483C8D" w14:textId="77777777" w:rsidR="009944E2" w:rsidRPr="00F52029" w:rsidRDefault="009944E2" w:rsidP="009944E2">
            <w:pPr>
              <w:pStyle w:val="Loendilik"/>
              <w:rPr>
                <w:rFonts w:ascii="Arial" w:hAnsi="Arial" w:cs="Arial"/>
                <w:color w:val="333333"/>
                <w:shd w:val="clear" w:color="auto" w:fill="FFFFFF"/>
              </w:rPr>
            </w:pPr>
            <w:r w:rsidRPr="00F52029">
              <w:rPr>
                <w:rFonts w:ascii="Arial" w:hAnsi="Arial" w:cs="Arial"/>
                <w:color w:val="333333"/>
                <w:shd w:val="clear" w:color="auto" w:fill="FFFFFF"/>
              </w:rPr>
              <w:t>Prioriteet nr 1 (teadmussiirde ja innovatsiooni parandamine põllumajanduses, metsanduses ning maapiirkondades)</w:t>
            </w:r>
          </w:p>
          <w:p w14:paraId="7547B6CD" w14:textId="77777777" w:rsidR="00EF5791" w:rsidRPr="00F52029" w:rsidRDefault="009944E2" w:rsidP="009944E2">
            <w:pPr>
              <w:pStyle w:val="Loendilik"/>
              <w:rPr>
                <w:rFonts w:ascii="Arial" w:hAnsi="Arial" w:cs="Arial"/>
                <w:color w:val="333333"/>
                <w:shd w:val="clear" w:color="auto" w:fill="FFFFFF"/>
              </w:rPr>
            </w:pPr>
            <w:r w:rsidRPr="00F52029">
              <w:rPr>
                <w:rFonts w:ascii="Arial" w:hAnsi="Arial" w:cs="Arial"/>
                <w:color w:val="333333"/>
                <w:shd w:val="clear" w:color="auto" w:fill="FFFFFF"/>
              </w:rPr>
              <w:t>Prioriteet nr 3 (toiduahela korraldamise, sealhulgas põllumajandustoodete töötlemise ja turustamise, loomade heaolu ja riskijuhtimise edendamine põllumajanduses) Prioriteet nr 6 (sotsiaalse kaasamise, vaesuse vähendamise ja maapiirkondade majandusliku arengu edendamine)</w:t>
            </w:r>
          </w:p>
          <w:p w14:paraId="5B3CBE8C" w14:textId="77777777" w:rsidR="009944E2" w:rsidRPr="00F52029" w:rsidRDefault="009944E2" w:rsidP="009944E2">
            <w:pPr>
              <w:pStyle w:val="Loendilik"/>
              <w:rPr>
                <w:rFonts w:ascii="Arial" w:hAnsi="Arial" w:cs="Arial"/>
              </w:rPr>
            </w:pPr>
          </w:p>
        </w:tc>
      </w:tr>
      <w:tr w:rsidR="00FA1FFC" w:rsidRPr="00FA1FFC" w14:paraId="7AF51D93" w14:textId="77777777" w:rsidTr="00FA1FFC">
        <w:tc>
          <w:tcPr>
            <w:tcW w:w="9212" w:type="dxa"/>
          </w:tcPr>
          <w:p w14:paraId="3A9B82C9"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Toetatavad tegevused</w:t>
            </w:r>
            <w:r w:rsidR="00F52029" w:rsidRPr="00F52029">
              <w:rPr>
                <w:rFonts w:ascii="Arial" w:hAnsi="Arial" w:cs="Arial"/>
                <w:b/>
                <w:color w:val="00B050"/>
              </w:rPr>
              <w:t xml:space="preserve"> *</w:t>
            </w:r>
          </w:p>
        </w:tc>
      </w:tr>
      <w:tr w:rsidR="00FA1FFC" w:rsidRPr="00FA1FFC" w14:paraId="6B662411" w14:textId="77777777" w:rsidTr="00FA1FFC">
        <w:tc>
          <w:tcPr>
            <w:tcW w:w="9212" w:type="dxa"/>
          </w:tcPr>
          <w:p w14:paraId="287C9853" w14:textId="436935C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toimivate suurürituste jätkamine ja uute algatamine (spordi-, tantsu- ja laulupäevad, rahvapeod jms)</w:t>
            </w:r>
          </w:p>
          <w:p w14:paraId="4EEC6ECF" w14:textId="7777777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maakonna mainekujundusega seotud tegevused</w:t>
            </w:r>
          </w:p>
          <w:p w14:paraId="5F63E00D" w14:textId="7777777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maakondlike koostöövõrgustike ja klastrite arendamine</w:t>
            </w:r>
          </w:p>
          <w:p w14:paraId="15973F4C" w14:textId="7777777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maakonnaülene noortetegevus</w:t>
            </w:r>
          </w:p>
          <w:p w14:paraId="666401A7" w14:textId="7777777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ühisprojektide algatamine ja arendamine</w:t>
            </w:r>
          </w:p>
          <w:p w14:paraId="25A0429B" w14:textId="77777777" w:rsidR="009944E2" w:rsidRPr="00F52029" w:rsidRDefault="009944E2" w:rsidP="009944E2">
            <w:pPr>
              <w:pStyle w:val="form-control-static"/>
              <w:numPr>
                <w:ilvl w:val="0"/>
                <w:numId w:val="3"/>
              </w:numPr>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 xml:space="preserve">koolituste korraldamine ja oskuste omandamine (valdkonnad: kohalik toit, turism, loomemajandus, puidu- ja metallisektor) </w:t>
            </w:r>
          </w:p>
          <w:p w14:paraId="1027ED1C" w14:textId="77777777" w:rsidR="009944E2" w:rsidRPr="00F52029" w:rsidRDefault="009944E2" w:rsidP="009944E2">
            <w:pPr>
              <w:pStyle w:val="form-control-static"/>
              <w:shd w:val="clear" w:color="auto" w:fill="FFFFFF"/>
              <w:spacing w:before="0" w:beforeAutospacing="0" w:after="0" w:afterAutospacing="0"/>
              <w:ind w:left="1080"/>
              <w:rPr>
                <w:rFonts w:ascii="Arial" w:hAnsi="Arial" w:cs="Arial"/>
                <w:color w:val="333333"/>
                <w:sz w:val="22"/>
                <w:szCs w:val="22"/>
              </w:rPr>
            </w:pPr>
          </w:p>
          <w:p w14:paraId="66BFF282" w14:textId="718B9D67" w:rsidR="009944E2" w:rsidRPr="00F52029" w:rsidRDefault="009944E2" w:rsidP="00095CB5">
            <w:pPr>
              <w:pStyle w:val="form-control-static"/>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 xml:space="preserve">Toetuse taotlemise eelduseks on vähemalt 2 osapoole ühistegevus, v.a koolituste korraldamine ja oskuste omandamine. Koostööpartnerid peavad eelnevalt koostama </w:t>
            </w:r>
            <w:r w:rsidR="00095CB5">
              <w:rPr>
                <w:rFonts w:ascii="Arial" w:hAnsi="Arial" w:cs="Arial"/>
                <w:color w:val="333333"/>
                <w:sz w:val="22"/>
                <w:szCs w:val="22"/>
              </w:rPr>
              <w:t>1</w:t>
            </w:r>
            <w:r w:rsidRPr="00F52029">
              <w:rPr>
                <w:rFonts w:ascii="Arial" w:hAnsi="Arial" w:cs="Arial"/>
                <w:color w:val="333333"/>
                <w:sz w:val="22"/>
                <w:szCs w:val="22"/>
              </w:rPr>
              <w:t>-4-aastase tegevuskava.</w:t>
            </w:r>
          </w:p>
          <w:p w14:paraId="6CC74CED" w14:textId="77777777" w:rsidR="009944E2" w:rsidRPr="00F52029" w:rsidRDefault="009944E2" w:rsidP="00095CB5">
            <w:pPr>
              <w:pStyle w:val="form-control-static"/>
              <w:shd w:val="clear" w:color="auto" w:fill="FFFFFF"/>
              <w:spacing w:before="0" w:beforeAutospacing="0" w:after="0" w:afterAutospacing="0"/>
              <w:rPr>
                <w:rFonts w:ascii="Arial" w:hAnsi="Arial" w:cs="Arial"/>
                <w:color w:val="333333"/>
                <w:sz w:val="22"/>
                <w:szCs w:val="22"/>
              </w:rPr>
            </w:pPr>
            <w:r w:rsidRPr="00F52029">
              <w:rPr>
                <w:rFonts w:ascii="Arial" w:hAnsi="Arial" w:cs="Arial"/>
                <w:color w:val="333333"/>
                <w:sz w:val="22"/>
                <w:szCs w:val="22"/>
              </w:rPr>
              <w:t xml:space="preserve">Meede ei või sisaldada investeeringuid põhivarasse ja infrastruktuuri. Investeeringud väikevahenditesse võivad moodustada kuni 25% projekti abikõlbulikest kuludest. </w:t>
            </w:r>
          </w:p>
          <w:p w14:paraId="34DF08EC" w14:textId="77777777" w:rsidR="00FA1FFC" w:rsidRPr="00F52029" w:rsidRDefault="009944E2" w:rsidP="00095CB5">
            <w:pPr>
              <w:pStyle w:val="form-control-static"/>
              <w:shd w:val="clear" w:color="auto" w:fill="FFFFFF"/>
              <w:spacing w:before="0" w:beforeAutospacing="0" w:after="0" w:afterAutospacing="0"/>
              <w:rPr>
                <w:rFonts w:ascii="Arial" w:hAnsi="Arial" w:cs="Arial"/>
                <w:sz w:val="22"/>
                <w:szCs w:val="22"/>
              </w:rPr>
            </w:pPr>
            <w:r w:rsidRPr="00F52029">
              <w:rPr>
                <w:rFonts w:ascii="Arial" w:hAnsi="Arial" w:cs="Arial"/>
                <w:color w:val="333333"/>
                <w:sz w:val="22"/>
                <w:szCs w:val="22"/>
              </w:rPr>
              <w:t>Ühisprojektide puhul on abikõlblikud koostöö jooksvad kulud, sh projektijuhtimine kuni 20 % ühistegevuste eelarvest.</w:t>
            </w:r>
          </w:p>
        </w:tc>
      </w:tr>
      <w:tr w:rsidR="00FA1FFC" w:rsidRPr="00FA1FFC" w14:paraId="5480AFE1" w14:textId="77777777" w:rsidTr="00FA1FFC">
        <w:tc>
          <w:tcPr>
            <w:tcW w:w="9212" w:type="dxa"/>
          </w:tcPr>
          <w:p w14:paraId="48829450"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 xml:space="preserve">Kohaliku tegevusgrupi nõuded projektitoetuse taotlejale ja toetuse saajale (sh. dokumendid , mida peab projektitoetuse taotleja esitama taotluse esitamisel)  </w:t>
            </w:r>
          </w:p>
        </w:tc>
      </w:tr>
      <w:tr w:rsidR="00FA1FFC" w:rsidRPr="00FA1FFC" w14:paraId="2A082EAA" w14:textId="77777777" w:rsidTr="00FA1FFC">
        <w:tc>
          <w:tcPr>
            <w:tcW w:w="9212" w:type="dxa"/>
          </w:tcPr>
          <w:p w14:paraId="67E83D60" w14:textId="77777777" w:rsidR="00610996" w:rsidRPr="00F52029" w:rsidRDefault="00610996" w:rsidP="00610996">
            <w:pPr>
              <w:pStyle w:val="Loendilik"/>
              <w:numPr>
                <w:ilvl w:val="0"/>
                <w:numId w:val="2"/>
              </w:numPr>
              <w:spacing w:after="200" w:line="276" w:lineRule="auto"/>
              <w:rPr>
                <w:rFonts w:ascii="Arial" w:hAnsi="Arial" w:cs="Arial"/>
              </w:rPr>
            </w:pPr>
            <w:r w:rsidRPr="00F52029">
              <w:rPr>
                <w:rFonts w:ascii="Arial" w:hAnsi="Arial" w:cs="Arial"/>
                <w:color w:val="333333"/>
                <w:shd w:val="clear" w:color="auto" w:fill="FFFFFF"/>
              </w:rPr>
              <w:t>Tegevuse puhul maksumusega alla 1000 euro käibemaksuta detailne eelarve ja võimalusel hinnapakkumused või viited tegevuse maksumusele</w:t>
            </w:r>
          </w:p>
          <w:p w14:paraId="538788A1" w14:textId="77777777" w:rsidR="00610996" w:rsidRPr="00F52029" w:rsidRDefault="00610996" w:rsidP="00610996">
            <w:pPr>
              <w:pStyle w:val="Loendilik"/>
              <w:numPr>
                <w:ilvl w:val="0"/>
                <w:numId w:val="2"/>
              </w:numPr>
              <w:spacing w:after="200" w:line="276" w:lineRule="auto"/>
              <w:rPr>
                <w:rFonts w:ascii="Arial" w:hAnsi="Arial" w:cs="Arial"/>
              </w:rPr>
            </w:pPr>
            <w:r w:rsidRPr="00F52029">
              <w:rPr>
                <w:rFonts w:ascii="Arial" w:hAnsi="Arial" w:cs="Arial"/>
                <w:color w:val="333333"/>
                <w:shd w:val="clear" w:color="auto" w:fill="FFFFFF"/>
              </w:rPr>
              <w:t>Tegevuste puhul maksumusega üle 1000 kuni 5000 eurot üks hinnapakkumus tegevuse kohta</w:t>
            </w:r>
          </w:p>
          <w:p w14:paraId="119172E4" w14:textId="77777777" w:rsidR="00610996" w:rsidRPr="00F52029" w:rsidRDefault="00610996" w:rsidP="00610996">
            <w:pPr>
              <w:pStyle w:val="Loendilik"/>
              <w:numPr>
                <w:ilvl w:val="0"/>
                <w:numId w:val="2"/>
              </w:numPr>
              <w:spacing w:after="200" w:line="276" w:lineRule="auto"/>
              <w:rPr>
                <w:rFonts w:ascii="Arial" w:hAnsi="Arial" w:cs="Arial"/>
              </w:rPr>
            </w:pPr>
            <w:r w:rsidRPr="00F52029">
              <w:rPr>
                <w:rFonts w:ascii="Arial" w:hAnsi="Arial" w:cs="Arial"/>
                <w:color w:val="333333"/>
                <w:shd w:val="clear" w:color="auto" w:fill="FFFFFF"/>
              </w:rPr>
              <w:t xml:space="preserve">Tegevuste puhul maksumusega üle 5000 euro käibemaksuta kolm võrreldavat </w:t>
            </w:r>
            <w:r w:rsidRPr="00F52029">
              <w:rPr>
                <w:rFonts w:ascii="Arial" w:hAnsi="Arial" w:cs="Arial"/>
                <w:color w:val="333333"/>
                <w:shd w:val="clear" w:color="auto" w:fill="FFFFFF"/>
              </w:rPr>
              <w:lastRenderedPageBreak/>
              <w:t>hinnapakkumust</w:t>
            </w:r>
          </w:p>
          <w:p w14:paraId="13F1459C" w14:textId="77777777" w:rsidR="00FA1FFC" w:rsidRPr="00F52029" w:rsidRDefault="00610996" w:rsidP="00610996">
            <w:pPr>
              <w:pStyle w:val="Loendilik"/>
              <w:numPr>
                <w:ilvl w:val="0"/>
                <w:numId w:val="2"/>
              </w:numPr>
              <w:rPr>
                <w:rFonts w:ascii="Arial" w:hAnsi="Arial" w:cs="Arial"/>
              </w:rPr>
            </w:pPr>
            <w:r w:rsidRPr="00F52029">
              <w:rPr>
                <w:rFonts w:ascii="Arial" w:hAnsi="Arial" w:cs="Arial"/>
                <w:color w:val="333333"/>
                <w:shd w:val="clear" w:color="auto" w:fill="FFFFFF"/>
              </w:rPr>
              <w:t>Organisatsiooni tutvustus ja projektijuhi CV</w:t>
            </w:r>
          </w:p>
        </w:tc>
      </w:tr>
      <w:tr w:rsidR="00FA1FFC" w:rsidRPr="00FA1FFC" w14:paraId="03EF4DD4" w14:textId="77777777" w:rsidTr="00FA1FFC">
        <w:tc>
          <w:tcPr>
            <w:tcW w:w="9212" w:type="dxa"/>
          </w:tcPr>
          <w:p w14:paraId="16F3040E"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lastRenderedPageBreak/>
              <w:t>Toetuse maksimaalne suurus ja määr</w:t>
            </w:r>
          </w:p>
        </w:tc>
      </w:tr>
      <w:tr w:rsidR="00FA1FFC" w:rsidRPr="00FA1FFC" w14:paraId="3F53789C" w14:textId="77777777" w:rsidTr="00FA1FFC">
        <w:tc>
          <w:tcPr>
            <w:tcW w:w="9212" w:type="dxa"/>
          </w:tcPr>
          <w:p w14:paraId="0E896F19" w14:textId="77777777" w:rsidR="00FA1FFC" w:rsidRPr="00F52029" w:rsidRDefault="00FA1FFC" w:rsidP="00FA1FFC">
            <w:pPr>
              <w:pStyle w:val="Loendilik"/>
              <w:rPr>
                <w:rFonts w:ascii="Arial" w:hAnsi="Arial" w:cs="Arial"/>
                <w:color w:val="333333"/>
                <w:shd w:val="clear" w:color="auto" w:fill="FFFFFF"/>
              </w:rPr>
            </w:pPr>
          </w:p>
          <w:p w14:paraId="4977C495" w14:textId="51818E75" w:rsidR="00EF5791" w:rsidRPr="00F52029" w:rsidRDefault="00EF5791" w:rsidP="00EF5791">
            <w:pPr>
              <w:pStyle w:val="Loendilik"/>
              <w:numPr>
                <w:ilvl w:val="0"/>
                <w:numId w:val="2"/>
              </w:numPr>
              <w:rPr>
                <w:rFonts w:ascii="Arial" w:hAnsi="Arial" w:cs="Arial"/>
              </w:rPr>
            </w:pPr>
            <w:r w:rsidRPr="00F52029">
              <w:rPr>
                <w:rFonts w:ascii="Arial" w:hAnsi="Arial" w:cs="Arial"/>
                <w:color w:val="333333"/>
                <w:shd w:val="clear" w:color="auto" w:fill="FFFFFF"/>
              </w:rPr>
              <w:t xml:space="preserve">Toetuse miinimumsumma on 1 000 eurot ja maksimumsumma </w:t>
            </w:r>
            <w:r w:rsidR="00095CB5">
              <w:rPr>
                <w:rFonts w:ascii="Arial" w:hAnsi="Arial" w:cs="Arial"/>
                <w:color w:val="333333"/>
                <w:shd w:val="clear" w:color="auto" w:fill="FFFFFF"/>
              </w:rPr>
              <w:t>15</w:t>
            </w:r>
            <w:r w:rsidRPr="00F52029">
              <w:rPr>
                <w:rFonts w:ascii="Arial" w:hAnsi="Arial" w:cs="Arial"/>
                <w:color w:val="333333"/>
                <w:shd w:val="clear" w:color="auto" w:fill="FFFFFF"/>
              </w:rPr>
              <w:t xml:space="preserve"> 000 eurot</w:t>
            </w:r>
          </w:p>
          <w:p w14:paraId="12BD724E" w14:textId="77777777" w:rsidR="00EF5791" w:rsidRPr="00F52029" w:rsidRDefault="00EF5791" w:rsidP="00EF5791">
            <w:pPr>
              <w:pStyle w:val="Loendilik"/>
              <w:numPr>
                <w:ilvl w:val="0"/>
                <w:numId w:val="2"/>
              </w:numPr>
              <w:rPr>
                <w:rFonts w:ascii="Arial" w:hAnsi="Arial" w:cs="Arial"/>
              </w:rPr>
            </w:pPr>
            <w:r w:rsidRPr="00F52029">
              <w:rPr>
                <w:rFonts w:ascii="Arial" w:hAnsi="Arial" w:cs="Arial"/>
                <w:color w:val="333333"/>
                <w:shd w:val="clear" w:color="auto" w:fill="FFFFFF"/>
              </w:rPr>
              <w:t xml:space="preserve">Toetuse määr on: </w:t>
            </w:r>
          </w:p>
          <w:p w14:paraId="08D6DC94" w14:textId="77777777" w:rsidR="00EF5791" w:rsidRPr="00F52029" w:rsidRDefault="00EF5791" w:rsidP="00EF5791">
            <w:pPr>
              <w:pStyle w:val="Loendilik"/>
              <w:ind w:left="1080"/>
              <w:rPr>
                <w:rFonts w:ascii="Arial" w:hAnsi="Arial" w:cs="Arial"/>
                <w:color w:val="333333"/>
                <w:shd w:val="clear" w:color="auto" w:fill="FFFFFF"/>
              </w:rPr>
            </w:pPr>
            <w:r w:rsidRPr="00F52029">
              <w:rPr>
                <w:rFonts w:ascii="Arial" w:hAnsi="Arial" w:cs="Arial"/>
                <w:color w:val="333333"/>
                <w:shd w:val="clear" w:color="auto" w:fill="FFFFFF"/>
              </w:rPr>
              <w:t xml:space="preserve">a) MTÜ/ SA ja KOV kuni 90% abikõlblikest tegevustest, </w:t>
            </w:r>
          </w:p>
          <w:p w14:paraId="35D8BCC2" w14:textId="77777777" w:rsidR="00EF5791" w:rsidRPr="00F52029" w:rsidRDefault="00EF5791" w:rsidP="00EF5791">
            <w:pPr>
              <w:pStyle w:val="Loendilik"/>
              <w:ind w:left="1080"/>
              <w:rPr>
                <w:rFonts w:ascii="Arial" w:hAnsi="Arial" w:cs="Arial"/>
                <w:color w:val="333333"/>
                <w:shd w:val="clear" w:color="auto" w:fill="FFFFFF"/>
              </w:rPr>
            </w:pPr>
            <w:r w:rsidRPr="00F52029">
              <w:rPr>
                <w:rFonts w:ascii="Arial" w:hAnsi="Arial" w:cs="Arial"/>
                <w:color w:val="333333"/>
                <w:shd w:val="clear" w:color="auto" w:fill="FFFFFF"/>
              </w:rPr>
              <w:t xml:space="preserve">b) ettevõtetel kuni 60% abikõlblikest tegevustest </w:t>
            </w:r>
          </w:p>
          <w:p w14:paraId="56CE31A5" w14:textId="77777777" w:rsidR="00EF5791" w:rsidRPr="00F52029" w:rsidRDefault="00EF5791" w:rsidP="00F52029">
            <w:pPr>
              <w:pStyle w:val="Loendilik"/>
              <w:ind w:left="1080"/>
              <w:rPr>
                <w:rFonts w:ascii="Arial" w:hAnsi="Arial" w:cs="Arial"/>
              </w:rPr>
            </w:pPr>
            <w:r w:rsidRPr="00F52029">
              <w:rPr>
                <w:rFonts w:ascii="Arial" w:hAnsi="Arial" w:cs="Arial"/>
                <w:color w:val="333333"/>
                <w:shd w:val="clear" w:color="auto" w:fill="FFFFFF"/>
              </w:rPr>
              <w:t>c) MTÜ/SA ja KOVidel kuni 60 protsenti toetatava tegevuse või investeeringu abikõlblikest kuludest, kui projektis kavandatud tegevus on suunatud ettevõtluse arendamiseks</w:t>
            </w:r>
          </w:p>
        </w:tc>
      </w:tr>
      <w:tr w:rsidR="00FA1FFC" w:rsidRPr="00FA1FFC" w14:paraId="356EBB23" w14:textId="77777777" w:rsidTr="00FA1FFC">
        <w:tc>
          <w:tcPr>
            <w:tcW w:w="9212" w:type="dxa"/>
          </w:tcPr>
          <w:p w14:paraId="0046C135"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Viide sihtvaldkonnale</w:t>
            </w:r>
          </w:p>
        </w:tc>
      </w:tr>
      <w:tr w:rsidR="00FA1FFC" w:rsidRPr="00FA1FFC" w14:paraId="57A0342E" w14:textId="77777777" w:rsidTr="00FA1FFC">
        <w:tc>
          <w:tcPr>
            <w:tcW w:w="9212" w:type="dxa"/>
          </w:tcPr>
          <w:p w14:paraId="740DFFFC" w14:textId="77777777" w:rsidR="006C4EE0" w:rsidRPr="00F52029" w:rsidRDefault="006C4EE0" w:rsidP="006C4EE0">
            <w:pPr>
              <w:pStyle w:val="Loendilik"/>
              <w:rPr>
                <w:rFonts w:ascii="Arial" w:hAnsi="Arial" w:cs="Arial"/>
              </w:rPr>
            </w:pPr>
            <w:r w:rsidRPr="00F52029">
              <w:rPr>
                <w:rFonts w:ascii="Arial" w:hAnsi="Arial" w:cs="Arial"/>
              </w:rPr>
              <w:t xml:space="preserve">• 1A: innovatsiooni ja koostöö toetamine ning teadmistebaasi arendamine maapiirkondades, </w:t>
            </w:r>
          </w:p>
          <w:p w14:paraId="58225FB4" w14:textId="77777777" w:rsidR="006C4EE0" w:rsidRPr="00F52029" w:rsidRDefault="006C4EE0" w:rsidP="006C4EE0">
            <w:pPr>
              <w:pStyle w:val="Loendilik"/>
              <w:rPr>
                <w:rFonts w:ascii="Arial" w:hAnsi="Arial" w:cs="Arial"/>
              </w:rPr>
            </w:pPr>
            <w:r w:rsidRPr="00F52029">
              <w:rPr>
                <w:rFonts w:ascii="Arial" w:hAnsi="Arial" w:cs="Arial"/>
              </w:rPr>
              <w:t xml:space="preserve">• 1B: põllumajanduse, toidu tootmise ja metsanduse ning teadusuuringute ja innovatsiooni vaheliste sidemete tugevdamine, </w:t>
            </w:r>
          </w:p>
          <w:p w14:paraId="39BE71A7" w14:textId="77777777" w:rsidR="006C4EE0" w:rsidRPr="00F52029" w:rsidRDefault="006C4EE0" w:rsidP="006C4EE0">
            <w:pPr>
              <w:pStyle w:val="Loendilik"/>
              <w:rPr>
                <w:rFonts w:ascii="Arial" w:hAnsi="Arial" w:cs="Arial"/>
              </w:rPr>
            </w:pPr>
            <w:r w:rsidRPr="00F52029">
              <w:rPr>
                <w:rFonts w:ascii="Arial" w:hAnsi="Arial" w:cs="Arial"/>
              </w:rPr>
              <w:t>• 3A: toormetootjate parem integreerimine toiduainete tarneahelasse kvaliteedikavade kaudu, kohalike turgude edendamise ja lühikeste tarneahelate ning tootjarühmade ja -organisatsioonide ning tootmisharudevaheliste organisatsioonide kaudu</w:t>
            </w:r>
          </w:p>
          <w:p w14:paraId="5A1AF7C5" w14:textId="77777777" w:rsidR="00FA1FFC" w:rsidRPr="00F52029" w:rsidRDefault="006C4EE0" w:rsidP="006C4EE0">
            <w:pPr>
              <w:pStyle w:val="Loendilik"/>
              <w:rPr>
                <w:rFonts w:ascii="Arial" w:hAnsi="Arial" w:cs="Arial"/>
              </w:rPr>
            </w:pPr>
            <w:r w:rsidRPr="00F52029">
              <w:rPr>
                <w:rFonts w:ascii="Arial" w:hAnsi="Arial" w:cs="Arial"/>
              </w:rPr>
              <w:t>• 6B: Maapiirkondade kohaliku arengu soodustamine.</w:t>
            </w:r>
          </w:p>
        </w:tc>
      </w:tr>
      <w:tr w:rsidR="00FA1FFC" w:rsidRPr="00FA1FFC" w14:paraId="403E5AEB" w14:textId="77777777" w:rsidTr="00FA1FFC">
        <w:tc>
          <w:tcPr>
            <w:tcW w:w="9212" w:type="dxa"/>
          </w:tcPr>
          <w:p w14:paraId="37FEACF7"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Euroopa Parlamendi ja nõukogu määruse (EL) nr 1305/2013 artiklis 5 nimetatud prioriteedid, mille eesmärkide saavutamisele strateegia meetme rakendamine enim kaasa aitab</w:t>
            </w:r>
            <w:r w:rsidR="00F52029" w:rsidRPr="00F52029">
              <w:rPr>
                <w:rFonts w:ascii="Arial" w:hAnsi="Arial" w:cs="Arial"/>
                <w:b/>
                <w:color w:val="00B050"/>
              </w:rPr>
              <w:t xml:space="preserve"> **</w:t>
            </w:r>
          </w:p>
        </w:tc>
      </w:tr>
      <w:tr w:rsidR="00FA1FFC" w:rsidRPr="00FA1FFC" w14:paraId="3DCB1C8A" w14:textId="77777777" w:rsidTr="00FA1FFC">
        <w:tc>
          <w:tcPr>
            <w:tcW w:w="9212" w:type="dxa"/>
          </w:tcPr>
          <w:p w14:paraId="3332C562" w14:textId="77777777" w:rsidR="00FA1FFC" w:rsidRPr="00F52029" w:rsidRDefault="00EF5791" w:rsidP="00FA1FFC">
            <w:pPr>
              <w:pStyle w:val="Loendilik"/>
              <w:rPr>
                <w:rFonts w:ascii="Arial" w:hAnsi="Arial" w:cs="Arial"/>
              </w:rPr>
            </w:pPr>
            <w:r w:rsidRPr="00F52029">
              <w:rPr>
                <w:rFonts w:ascii="Arial" w:hAnsi="Arial" w:cs="Arial"/>
                <w:color w:val="333333"/>
                <w:shd w:val="clear" w:color="auto" w:fill="FFFFFF"/>
              </w:rPr>
              <w:t xml:space="preserve">Artikkel 35 </w:t>
            </w:r>
            <w:r w:rsidR="006C4EE0" w:rsidRPr="00F52029">
              <w:rPr>
                <w:rFonts w:ascii="Arial" w:hAnsi="Arial" w:cs="Arial"/>
                <w:color w:val="333333"/>
                <w:shd w:val="clear" w:color="auto" w:fill="FFFFFF"/>
              </w:rPr>
              <w:t>ja 14</w:t>
            </w:r>
          </w:p>
        </w:tc>
      </w:tr>
      <w:tr w:rsidR="00FA1FFC" w:rsidRPr="00FA1FFC" w14:paraId="4BD45189" w14:textId="77777777" w:rsidTr="00FA1FFC">
        <w:tc>
          <w:tcPr>
            <w:tcW w:w="9212" w:type="dxa"/>
          </w:tcPr>
          <w:p w14:paraId="3412AF1A"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Viide arengukava meetmele, kui strateegia meede sellega kattub</w:t>
            </w:r>
          </w:p>
        </w:tc>
      </w:tr>
      <w:tr w:rsidR="00FA1FFC" w:rsidRPr="00FA1FFC" w14:paraId="22FFEA49" w14:textId="77777777" w:rsidTr="00FA1FFC">
        <w:tc>
          <w:tcPr>
            <w:tcW w:w="9212" w:type="dxa"/>
          </w:tcPr>
          <w:p w14:paraId="2B48CD7C" w14:textId="77777777" w:rsidR="00FA1FFC" w:rsidRPr="00F52029" w:rsidRDefault="00FA1FFC" w:rsidP="00FA1FFC">
            <w:pPr>
              <w:pStyle w:val="Loendilik"/>
              <w:rPr>
                <w:rFonts w:ascii="Arial" w:hAnsi="Arial" w:cs="Arial"/>
              </w:rPr>
            </w:pPr>
            <w:r w:rsidRPr="00F52029">
              <w:rPr>
                <w:rFonts w:ascii="Arial" w:hAnsi="Arial" w:cs="Arial"/>
              </w:rPr>
              <w:t>Meede ei kattu arengukava meetmega</w:t>
            </w:r>
          </w:p>
        </w:tc>
      </w:tr>
      <w:tr w:rsidR="00FA1FFC" w:rsidRPr="00FA1FFC" w14:paraId="791E719A" w14:textId="77777777" w:rsidTr="00FA1FFC">
        <w:tc>
          <w:tcPr>
            <w:tcW w:w="9212" w:type="dxa"/>
          </w:tcPr>
          <w:p w14:paraId="4ECBBCFF"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Strateegia meetme indikaatorid ja sihttasemed</w:t>
            </w:r>
          </w:p>
        </w:tc>
      </w:tr>
      <w:tr w:rsidR="00FA1FFC" w:rsidRPr="00FA1FFC" w14:paraId="0C824F9F" w14:textId="77777777" w:rsidTr="00FA1FFC">
        <w:tc>
          <w:tcPr>
            <w:tcW w:w="9212" w:type="dxa"/>
          </w:tcPr>
          <w:p w14:paraId="1FF92186" w14:textId="77777777" w:rsidR="00EF5791" w:rsidRPr="00F52029" w:rsidRDefault="00EF5791" w:rsidP="00EF5791">
            <w:pPr>
              <w:pStyle w:val="Loendilik"/>
              <w:ind w:left="1080"/>
              <w:rPr>
                <w:rFonts w:ascii="Arial" w:hAnsi="Arial" w:cs="Arial"/>
              </w:rPr>
            </w:pPr>
            <w:r w:rsidRPr="00F52029">
              <w:rPr>
                <w:rFonts w:ascii="Arial" w:hAnsi="Arial" w:cs="Arial"/>
                <w:color w:val="333333"/>
                <w:shd w:val="clear" w:color="auto" w:fill="FFFFFF"/>
              </w:rPr>
              <w:t>Meetme indikaatorid ja sihttasemed:</w:t>
            </w:r>
          </w:p>
          <w:p w14:paraId="3387DFD5" w14:textId="54C15961" w:rsidR="006C4EE0" w:rsidRPr="00F52029" w:rsidRDefault="006C4EE0" w:rsidP="006C4EE0">
            <w:pPr>
              <w:pStyle w:val="Loendilik"/>
              <w:numPr>
                <w:ilvl w:val="0"/>
                <w:numId w:val="2"/>
              </w:numPr>
              <w:rPr>
                <w:rFonts w:ascii="Arial" w:hAnsi="Arial" w:cs="Arial"/>
              </w:rPr>
            </w:pPr>
            <w:r w:rsidRPr="00F52029">
              <w:rPr>
                <w:rFonts w:ascii="Arial" w:hAnsi="Arial" w:cs="Arial"/>
                <w:color w:val="333333"/>
                <w:shd w:val="clear" w:color="auto" w:fill="FFFFFF"/>
              </w:rPr>
              <w:t xml:space="preserve">Ühisprojektide arv - </w:t>
            </w:r>
            <w:r w:rsidR="00095CB5">
              <w:rPr>
                <w:rFonts w:ascii="Arial" w:hAnsi="Arial" w:cs="Arial"/>
                <w:color w:val="333333"/>
                <w:shd w:val="clear" w:color="auto" w:fill="FFFFFF"/>
              </w:rPr>
              <w:t>30</w:t>
            </w:r>
          </w:p>
          <w:p w14:paraId="7EA2B329" w14:textId="74DDD97D" w:rsidR="006C4EE0" w:rsidRPr="00F52029" w:rsidRDefault="006C4EE0" w:rsidP="006C4EE0">
            <w:pPr>
              <w:pStyle w:val="Loendilik"/>
              <w:numPr>
                <w:ilvl w:val="0"/>
                <w:numId w:val="2"/>
              </w:numPr>
              <w:rPr>
                <w:rFonts w:ascii="Arial" w:hAnsi="Arial" w:cs="Arial"/>
              </w:rPr>
            </w:pPr>
            <w:r w:rsidRPr="00F52029">
              <w:rPr>
                <w:rFonts w:ascii="Arial" w:hAnsi="Arial" w:cs="Arial"/>
                <w:color w:val="333333"/>
                <w:shd w:val="clear" w:color="auto" w:fill="FFFFFF"/>
              </w:rPr>
              <w:t xml:space="preserve">Tegevuspiirkonna eripära kasutamist soodustav või </w:t>
            </w:r>
            <w:proofErr w:type="spellStart"/>
            <w:r w:rsidRPr="00F52029">
              <w:rPr>
                <w:rFonts w:ascii="Arial" w:hAnsi="Arial" w:cs="Arial"/>
                <w:color w:val="333333"/>
                <w:shd w:val="clear" w:color="auto" w:fill="FFFFFF"/>
              </w:rPr>
              <w:t>elluviivad</w:t>
            </w:r>
            <w:proofErr w:type="spellEnd"/>
            <w:r w:rsidRPr="00F52029">
              <w:rPr>
                <w:rFonts w:ascii="Arial" w:hAnsi="Arial" w:cs="Arial"/>
                <w:color w:val="333333"/>
                <w:shd w:val="clear" w:color="auto" w:fill="FFFFFF"/>
              </w:rPr>
              <w:t xml:space="preserve"> projektid – </w:t>
            </w:r>
            <w:r w:rsidR="00C7412E">
              <w:rPr>
                <w:rFonts w:ascii="Arial" w:hAnsi="Arial" w:cs="Arial"/>
                <w:color w:val="333333"/>
                <w:shd w:val="clear" w:color="auto" w:fill="FFFFFF"/>
              </w:rPr>
              <w:t>12</w:t>
            </w:r>
          </w:p>
          <w:p w14:paraId="42C0225B" w14:textId="66F90AA7" w:rsidR="006C4EE0" w:rsidRPr="00F52029" w:rsidRDefault="006C4EE0" w:rsidP="006C4EE0">
            <w:pPr>
              <w:pStyle w:val="Loendilik"/>
              <w:numPr>
                <w:ilvl w:val="0"/>
                <w:numId w:val="2"/>
              </w:numPr>
              <w:rPr>
                <w:rFonts w:ascii="Arial" w:hAnsi="Arial" w:cs="Arial"/>
              </w:rPr>
            </w:pPr>
            <w:r w:rsidRPr="00F52029">
              <w:rPr>
                <w:rFonts w:ascii="Arial" w:hAnsi="Arial" w:cs="Arial"/>
                <w:color w:val="333333"/>
                <w:shd w:val="clear" w:color="auto" w:fill="FFFFFF"/>
              </w:rPr>
              <w:t xml:space="preserve">Uuenduslike lahendustega projektide arv – </w:t>
            </w:r>
            <w:r w:rsidR="00C7412E">
              <w:rPr>
                <w:rFonts w:ascii="Arial" w:hAnsi="Arial" w:cs="Arial"/>
                <w:color w:val="333333"/>
                <w:shd w:val="clear" w:color="auto" w:fill="FFFFFF"/>
              </w:rPr>
              <w:t>18</w:t>
            </w:r>
          </w:p>
          <w:p w14:paraId="032DBB97" w14:textId="3D596F02" w:rsidR="001A140A" w:rsidRPr="00F52029" w:rsidRDefault="006C4EE0" w:rsidP="00C7412E">
            <w:pPr>
              <w:pStyle w:val="Loendilik"/>
              <w:numPr>
                <w:ilvl w:val="0"/>
                <w:numId w:val="2"/>
              </w:numPr>
              <w:rPr>
                <w:rFonts w:ascii="Arial" w:hAnsi="Arial" w:cs="Arial"/>
              </w:rPr>
            </w:pPr>
            <w:r w:rsidRPr="00F52029">
              <w:rPr>
                <w:rFonts w:ascii="Arial" w:hAnsi="Arial" w:cs="Arial"/>
                <w:color w:val="333333"/>
                <w:shd w:val="clear" w:color="auto" w:fill="FFFFFF"/>
              </w:rPr>
              <w:t xml:space="preserve">Koolitusprojektide arv – </w:t>
            </w:r>
            <w:r w:rsidR="00C7412E">
              <w:rPr>
                <w:rFonts w:ascii="Arial" w:hAnsi="Arial" w:cs="Arial"/>
                <w:color w:val="333333"/>
                <w:shd w:val="clear" w:color="auto" w:fill="FFFFFF"/>
              </w:rPr>
              <w:t>10</w:t>
            </w:r>
            <w:r w:rsidRPr="00F52029">
              <w:rPr>
                <w:rFonts w:ascii="Arial" w:hAnsi="Arial" w:cs="Arial"/>
                <w:color w:val="333333"/>
                <w:shd w:val="clear" w:color="auto" w:fill="FFFFFF"/>
              </w:rPr>
              <w:t xml:space="preserve"> Toetuse osakaal – 10% kogu meetmete vahenditest </w:t>
            </w:r>
          </w:p>
        </w:tc>
      </w:tr>
      <w:tr w:rsidR="00FA1FFC" w:rsidRPr="00FA1FFC" w14:paraId="5E5818AC" w14:textId="77777777" w:rsidTr="00FA1FFC">
        <w:tc>
          <w:tcPr>
            <w:tcW w:w="9212" w:type="dxa"/>
          </w:tcPr>
          <w:p w14:paraId="7E355057" w14:textId="77777777" w:rsidR="00FA1FFC" w:rsidRPr="00F52029" w:rsidRDefault="00FA1FFC" w:rsidP="00FA1FFC">
            <w:pPr>
              <w:pStyle w:val="Loendilik"/>
              <w:numPr>
                <w:ilvl w:val="0"/>
                <w:numId w:val="1"/>
              </w:numPr>
              <w:rPr>
                <w:rFonts w:ascii="Arial" w:hAnsi="Arial" w:cs="Arial"/>
                <w:b/>
              </w:rPr>
            </w:pPr>
            <w:r w:rsidRPr="00F52029">
              <w:rPr>
                <w:rFonts w:ascii="Arial" w:hAnsi="Arial" w:cs="Arial"/>
                <w:b/>
                <w:color w:val="00B050"/>
              </w:rPr>
              <w:t>Projektitoetuse taotluste hindamiskriteeriumid</w:t>
            </w:r>
          </w:p>
        </w:tc>
      </w:tr>
      <w:tr w:rsidR="00FA1FFC" w:rsidRPr="00FA1FFC" w14:paraId="5921A7C2" w14:textId="77777777" w:rsidTr="00FA1FFC">
        <w:tc>
          <w:tcPr>
            <w:tcW w:w="9212" w:type="dxa"/>
          </w:tcPr>
          <w:p w14:paraId="74B771F2" w14:textId="77777777" w:rsidR="00FA1FFC" w:rsidRPr="00F52029"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Kriteerium: </w:t>
            </w:r>
          </w:p>
          <w:p w14:paraId="3C9B4D98" w14:textId="661A3CF3" w:rsidR="00FA1FFC" w:rsidRPr="00F52029"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1. Projekti vastavus arengustrateegia ja meetme eesmärkidele 3</w:t>
            </w:r>
            <w:r w:rsidR="00C7412E">
              <w:rPr>
                <w:rFonts w:ascii="Arial" w:hAnsi="Arial" w:cs="Arial"/>
                <w:color w:val="333333"/>
                <w:shd w:val="clear" w:color="auto" w:fill="FFFFFF"/>
              </w:rPr>
              <w:t>0</w:t>
            </w:r>
            <w:r w:rsidRPr="00F52029">
              <w:rPr>
                <w:rFonts w:ascii="Arial" w:hAnsi="Arial" w:cs="Arial"/>
                <w:color w:val="333333"/>
                <w:shd w:val="clear" w:color="auto" w:fill="FFFFFF"/>
              </w:rPr>
              <w:t xml:space="preserve">% </w:t>
            </w:r>
          </w:p>
          <w:p w14:paraId="2CFCA3A6" w14:textId="77777777" w:rsidR="00FA1FFC" w:rsidRPr="00F52029"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2. Projekti mõju piirkonna arengule 20%. </w:t>
            </w:r>
          </w:p>
          <w:p w14:paraId="731EF291" w14:textId="594416A3" w:rsidR="00FA1FFC" w:rsidRPr="00F52029"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3. Projekti teostatavus </w:t>
            </w:r>
            <w:r w:rsidR="00C7412E">
              <w:rPr>
                <w:rFonts w:ascii="Arial" w:hAnsi="Arial" w:cs="Arial"/>
                <w:color w:val="333333"/>
                <w:shd w:val="clear" w:color="auto" w:fill="FFFFFF"/>
              </w:rPr>
              <w:t>1</w:t>
            </w:r>
            <w:r w:rsidRPr="00F52029">
              <w:rPr>
                <w:rFonts w:ascii="Arial" w:hAnsi="Arial" w:cs="Arial"/>
                <w:color w:val="333333"/>
                <w:shd w:val="clear" w:color="auto" w:fill="FFFFFF"/>
              </w:rPr>
              <w:t xml:space="preserve">0% </w:t>
            </w:r>
          </w:p>
          <w:p w14:paraId="054C87A9" w14:textId="28116306" w:rsidR="00FA1FFC" w:rsidRPr="00F52029"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4. Kaasatus </w:t>
            </w:r>
            <w:r w:rsidR="00C7412E">
              <w:rPr>
                <w:rFonts w:ascii="Arial" w:hAnsi="Arial" w:cs="Arial"/>
                <w:color w:val="333333"/>
                <w:shd w:val="clear" w:color="auto" w:fill="FFFFFF"/>
              </w:rPr>
              <w:t>10</w:t>
            </w:r>
            <w:r w:rsidRPr="00F52029">
              <w:rPr>
                <w:rFonts w:ascii="Arial" w:hAnsi="Arial" w:cs="Arial"/>
                <w:color w:val="333333"/>
                <w:shd w:val="clear" w:color="auto" w:fill="FFFFFF"/>
              </w:rPr>
              <w:t xml:space="preserve">% </w:t>
            </w:r>
          </w:p>
          <w:p w14:paraId="63FD0FEC" w14:textId="3E109D2B" w:rsidR="00FA1FFC" w:rsidRDefault="00FA1FFC" w:rsidP="00FA1FFC">
            <w:pPr>
              <w:pStyle w:val="Loendilik"/>
              <w:rPr>
                <w:rFonts w:ascii="Arial" w:hAnsi="Arial" w:cs="Arial"/>
                <w:color w:val="333333"/>
                <w:shd w:val="clear" w:color="auto" w:fill="FFFFFF"/>
              </w:rPr>
            </w:pPr>
            <w:r w:rsidRPr="00F52029">
              <w:rPr>
                <w:rFonts w:ascii="Arial" w:hAnsi="Arial" w:cs="Arial"/>
                <w:color w:val="333333"/>
                <w:shd w:val="clear" w:color="auto" w:fill="FFFFFF"/>
              </w:rPr>
              <w:t xml:space="preserve">5. Taotleja jätkusuutlikkus 10% </w:t>
            </w:r>
          </w:p>
          <w:p w14:paraId="1E6A591C" w14:textId="165F1783" w:rsidR="00C7412E" w:rsidRPr="00F52029" w:rsidRDefault="00C7412E" w:rsidP="00FA1FFC">
            <w:pPr>
              <w:pStyle w:val="Loendilik"/>
              <w:rPr>
                <w:rFonts w:ascii="Arial" w:hAnsi="Arial" w:cs="Arial"/>
                <w:color w:val="333333"/>
                <w:shd w:val="clear" w:color="auto" w:fill="FFFFFF"/>
              </w:rPr>
            </w:pPr>
            <w:r>
              <w:rPr>
                <w:rFonts w:ascii="Arial" w:hAnsi="Arial" w:cs="Arial"/>
                <w:color w:val="333333"/>
                <w:shd w:val="clear" w:color="auto" w:fill="FFFFFF"/>
              </w:rPr>
              <w:t>6.Projekti jätkusuutlikkus 20%</w:t>
            </w:r>
          </w:p>
          <w:p w14:paraId="2AF376CF" w14:textId="3DEA6B0C" w:rsidR="00FA1FFC" w:rsidRPr="00F52029" w:rsidRDefault="00FA1FFC" w:rsidP="00C7412E">
            <w:pPr>
              <w:rPr>
                <w:rFonts w:ascii="Arial" w:hAnsi="Arial" w:cs="Arial"/>
              </w:rPr>
            </w:pPr>
            <w:r w:rsidRPr="00C7412E">
              <w:rPr>
                <w:rFonts w:ascii="Arial" w:hAnsi="Arial" w:cs="Arial"/>
                <w:color w:val="333333"/>
                <w:shd w:val="clear" w:color="auto" w:fill="FFFFFF"/>
              </w:rPr>
              <w:t>Taotluste hindamisel kasutatakse skaalat 0-4 punkti. Hindamiskomisjoni liikmete hinded iga hindamiskriteeriumi kohta kajastatakse ühtse aritmeetilise keskmisena, mis korrutatakse läbi kriteeriumi osakaaluga ning saadud tulemused summeeritakse koondhindeks. Hinnang taotlusele loetakse positiivseks, kui hindamisel antud koondhinne on vähemalt 2,5. Investeeringuga seotud projektide puhul võib hindamiskomisjon rakendada paikvaatlust.</w:t>
            </w:r>
          </w:p>
        </w:tc>
      </w:tr>
    </w:tbl>
    <w:p w14:paraId="7B2D9F08" w14:textId="77777777" w:rsidR="00DF38DC" w:rsidRDefault="00DF38DC" w:rsidP="00FA1FFC"/>
    <w:p w14:paraId="203AE2C8" w14:textId="77777777" w:rsidR="00F52029" w:rsidRPr="00C208B0" w:rsidRDefault="00F52029" w:rsidP="00F52029">
      <w:pPr>
        <w:pStyle w:val="Loendilik"/>
        <w:ind w:left="1080"/>
        <w:rPr>
          <w:sz w:val="16"/>
          <w:szCs w:val="16"/>
        </w:rPr>
      </w:pPr>
      <w:r w:rsidRPr="00C208B0">
        <w:rPr>
          <w:sz w:val="16"/>
          <w:szCs w:val="16"/>
        </w:rPr>
        <w:t>* 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w:t>
      </w:r>
    </w:p>
    <w:p w14:paraId="0E1AC34A" w14:textId="77777777" w:rsidR="00F52029" w:rsidRDefault="00F52029" w:rsidP="00F52029">
      <w:pPr>
        <w:pStyle w:val="Loendilik"/>
        <w:ind w:left="1080"/>
        <w:rPr>
          <w:sz w:val="16"/>
          <w:szCs w:val="16"/>
        </w:rPr>
      </w:pPr>
      <w:r w:rsidRPr="00C208B0">
        <w:rPr>
          <w:sz w:val="16"/>
          <w:szCs w:val="16"/>
        </w:rPr>
        <w:t xml:space="preserve">** Euroopa Parlamendi ja nõukogu määrus (EL) nr 1305/2013 </w:t>
      </w:r>
    </w:p>
    <w:p w14:paraId="33C29CF0" w14:textId="77777777" w:rsidR="00F52029" w:rsidRDefault="00C7412E" w:rsidP="00F52029">
      <w:pPr>
        <w:pStyle w:val="Loendilik"/>
        <w:ind w:left="1080"/>
      </w:pPr>
      <w:hyperlink r:id="rId5" w:history="1">
        <w:r w:rsidR="00F52029" w:rsidRPr="00C208B0">
          <w:rPr>
            <w:rFonts w:ascii="Calibri" w:eastAsia="Times New Roman" w:hAnsi="Calibri" w:cs="Times New Roman"/>
            <w:color w:val="0000FF"/>
            <w:sz w:val="16"/>
            <w:szCs w:val="16"/>
            <w:u w:val="single"/>
            <w:lang w:eastAsia="et-EE"/>
          </w:rPr>
          <w:t>http://eur-lex.europa.eu/LexUriServ/LexUriServ.do?uri=OJ:L:2013:347:0487:0548:ET:PDF</w:t>
        </w:r>
      </w:hyperlink>
    </w:p>
    <w:sectPr w:rsidR="00F52029" w:rsidSect="00F52029">
      <w:pgSz w:w="11906" w:h="16838"/>
      <w:pgMar w:top="1134" w:right="720" w:bottom="720"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3EDD"/>
    <w:multiLevelType w:val="hybridMultilevel"/>
    <w:tmpl w:val="D1A8B492"/>
    <w:lvl w:ilvl="0" w:tplc="C4BC049A">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7684292"/>
    <w:multiLevelType w:val="hybridMultilevel"/>
    <w:tmpl w:val="F5044B2A"/>
    <w:lvl w:ilvl="0" w:tplc="D11CD7E4">
      <w:start w:val="4"/>
      <w:numFmt w:val="bullet"/>
      <w:lvlText w:val=""/>
      <w:lvlJc w:val="left"/>
      <w:pPr>
        <w:ind w:left="1080" w:hanging="360"/>
      </w:pPr>
      <w:rPr>
        <w:rFonts w:ascii="Symbol" w:eastAsiaTheme="minorHAnsi" w:hAnsi="Symbol" w:cs="Arial" w:hint="default"/>
        <w:color w:val="333333"/>
        <w:sz w:val="20"/>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4ABE1D00"/>
    <w:multiLevelType w:val="hybridMultilevel"/>
    <w:tmpl w:val="601EE25C"/>
    <w:lvl w:ilvl="0" w:tplc="E470540A">
      <w:start w:val="3"/>
      <w:numFmt w:val="bullet"/>
      <w:lvlText w:val=""/>
      <w:lvlJc w:val="left"/>
      <w:pPr>
        <w:ind w:left="720" w:hanging="360"/>
      </w:pPr>
      <w:rPr>
        <w:rFonts w:ascii="Symbol" w:eastAsiaTheme="minorHAnsi" w:hAnsi="Symbol" w:cs="Arial" w:hint="default"/>
        <w:color w:val="333333"/>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55D535E"/>
    <w:multiLevelType w:val="hybridMultilevel"/>
    <w:tmpl w:val="6B40FD52"/>
    <w:lvl w:ilvl="0" w:tplc="6A50F512">
      <w:start w:val="2"/>
      <w:numFmt w:val="bullet"/>
      <w:lvlText w:val=""/>
      <w:lvlJc w:val="left"/>
      <w:pPr>
        <w:ind w:left="1080" w:hanging="360"/>
      </w:pPr>
      <w:rPr>
        <w:rFonts w:ascii="Symbol" w:eastAsiaTheme="minorHAnsi" w:hAnsi="Symbol"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16cid:durableId="807015586">
    <w:abstractNumId w:val="0"/>
  </w:num>
  <w:num w:numId="2" w16cid:durableId="621814484">
    <w:abstractNumId w:val="1"/>
  </w:num>
  <w:num w:numId="3" w16cid:durableId="344789916">
    <w:abstractNumId w:val="3"/>
  </w:num>
  <w:num w:numId="4" w16cid:durableId="397214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DC"/>
    <w:rsid w:val="00095CB5"/>
    <w:rsid w:val="000B4ACD"/>
    <w:rsid w:val="001A140A"/>
    <w:rsid w:val="002234AD"/>
    <w:rsid w:val="0028601B"/>
    <w:rsid w:val="002F27D6"/>
    <w:rsid w:val="004801CB"/>
    <w:rsid w:val="00610996"/>
    <w:rsid w:val="006C4EE0"/>
    <w:rsid w:val="009944E2"/>
    <w:rsid w:val="00C7412E"/>
    <w:rsid w:val="00DF38DC"/>
    <w:rsid w:val="00E367EB"/>
    <w:rsid w:val="00EA3CBF"/>
    <w:rsid w:val="00EF5791"/>
    <w:rsid w:val="00F52029"/>
    <w:rsid w:val="00FA1FF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28E"/>
  <w15:docId w15:val="{02772A77-481F-4AD8-ABB6-B5942D6B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F38DC"/>
    <w:pPr>
      <w:ind w:left="720"/>
      <w:contextualSpacing/>
    </w:pPr>
  </w:style>
  <w:style w:type="table" w:styleId="Kontuurtabel">
    <w:name w:val="Table Grid"/>
    <w:basedOn w:val="Normaaltabel"/>
    <w:uiPriority w:val="59"/>
    <w:rsid w:val="00F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allaad"/>
    <w:rsid w:val="00EF5791"/>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7829">
      <w:bodyDiv w:val="1"/>
      <w:marLeft w:val="0"/>
      <w:marRight w:val="0"/>
      <w:marTop w:val="0"/>
      <w:marBottom w:val="0"/>
      <w:divBdr>
        <w:top w:val="none" w:sz="0" w:space="0" w:color="auto"/>
        <w:left w:val="none" w:sz="0" w:space="0" w:color="auto"/>
        <w:bottom w:val="none" w:sz="0" w:space="0" w:color="auto"/>
        <w:right w:val="none" w:sz="0" w:space="0" w:color="auto"/>
      </w:divBdr>
    </w:div>
    <w:div w:id="1070925856">
      <w:bodyDiv w:val="1"/>
      <w:marLeft w:val="0"/>
      <w:marRight w:val="0"/>
      <w:marTop w:val="0"/>
      <w:marBottom w:val="0"/>
      <w:divBdr>
        <w:top w:val="none" w:sz="0" w:space="0" w:color="auto"/>
        <w:left w:val="none" w:sz="0" w:space="0" w:color="auto"/>
        <w:bottom w:val="none" w:sz="0" w:space="0" w:color="auto"/>
        <w:right w:val="none" w:sz="0" w:space="0" w:color="auto"/>
      </w:divBdr>
    </w:div>
    <w:div w:id="1194072121">
      <w:bodyDiv w:val="1"/>
      <w:marLeft w:val="0"/>
      <w:marRight w:val="0"/>
      <w:marTop w:val="0"/>
      <w:marBottom w:val="0"/>
      <w:divBdr>
        <w:top w:val="none" w:sz="0" w:space="0" w:color="auto"/>
        <w:left w:val="none" w:sz="0" w:space="0" w:color="auto"/>
        <w:bottom w:val="none" w:sz="0" w:space="0" w:color="auto"/>
        <w:right w:val="none" w:sz="0" w:space="0" w:color="auto"/>
      </w:divBdr>
    </w:div>
    <w:div w:id="19342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xUriServ/LexUriServ.do?uri=OJ:L:2013:347:0487:0548:ET: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D225206A76014E92E050E7241DBD5D" ma:contentTypeVersion="12" ma:contentTypeDescription="Loo uus dokument" ma:contentTypeScope="" ma:versionID="b3eb9978505777938a838432a7d599aa">
  <xsd:schema xmlns:xsd="http://www.w3.org/2001/XMLSchema" xmlns:xs="http://www.w3.org/2001/XMLSchema" xmlns:p="http://schemas.microsoft.com/office/2006/metadata/properties" xmlns:ns2="34306f27-676e-4a7d-8f7e-bf1f615f0899" xmlns:ns3="1b1a2deb-6096-41d3-adcd-a8cec6bd243c" targetNamespace="http://schemas.microsoft.com/office/2006/metadata/properties" ma:root="true" ma:fieldsID="c476801e8518ba7bf42b7eeb327253ce" ns2:_="" ns3:_="">
    <xsd:import namespace="34306f27-676e-4a7d-8f7e-bf1f615f0899"/>
    <xsd:import namespace="1b1a2deb-6096-41d3-adcd-a8cec6bd2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6f27-676e-4a7d-8f7e-bf1f615f0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1a2deb-6096-41d3-adcd-a8cec6bd243c"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9C8DB-EC19-490F-80EE-104D95E7956C}"/>
</file>

<file path=customXml/itemProps2.xml><?xml version="1.0" encoding="utf-8"?>
<ds:datastoreItem xmlns:ds="http://schemas.openxmlformats.org/officeDocument/2006/customXml" ds:itemID="{51628BAA-9A5C-407A-B12B-4E0DBCB6E604}"/>
</file>

<file path=customXml/itemProps3.xml><?xml version="1.0" encoding="utf-8"?>
<ds:datastoreItem xmlns:ds="http://schemas.openxmlformats.org/officeDocument/2006/customXml" ds:itemID="{818189A4-F788-4740-844E-A5CDDE022100}"/>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5080</Characters>
  <Application>Microsoft Office Word</Application>
  <DocSecurity>0</DocSecurity>
  <Lines>42</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Pärn</dc:creator>
  <cp:lastModifiedBy>Kaire Kaasik</cp:lastModifiedBy>
  <cp:revision>2</cp:revision>
  <dcterms:created xsi:type="dcterms:W3CDTF">2022-05-02T11:42:00Z</dcterms:created>
  <dcterms:modified xsi:type="dcterms:W3CDTF">2022-05-02T11:42:00Z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0x01010095D225206A76014E92E050E7241DBD5D</vt:lpwstr>
  </property>
</Properties>
</file>