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SÜNDMUSE TOETUSE TAOTLUS</w:t>
      </w:r>
    </w:p>
    <w:p>
      <w:pPr>
        <w:pStyle w:val="Normal"/>
        <w:jc w:val="center"/>
        <w:rPr/>
      </w:pPr>
      <w:r>
        <w:rPr/>
      </w:r>
    </w:p>
    <w:tbl>
      <w:tblPr>
        <w:tblW w:w="879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395"/>
        <w:gridCol w:w="4395"/>
      </w:tblGrid>
      <w:tr>
        <w:trPr>
          <w:trHeight w:val="56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Taotleja ärinimi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Registrikood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E-post, telefon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Arvelduskonto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Taotleja esindusõiguslik isik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Taotleja projektijuht ja tema telefon, e-post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32" w:hRule="atLeast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Organisatsiooni põhilised tegevusvaldkonnad ja põhikirjaline tegevus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32" w:hRule="atLeast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Sündmuse/sündmuste sarja nimi, toimumise aeg, koht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36" w:hRule="atLeast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Sündmuse/sündmuste sarja kirjeldus: eesmärk, sihtgrupp, tegevused, kogukonna kaasamine, oodatav tulemus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36" w:hRule="atLeast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Sündmuse/sündmuste sarja mõju piirkonna arengule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36" w:hRule="atLeast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Kas sündmuse/sündmuste sarja korraldamisel kasutatakse rohefestivali põhimõtteid ja kui siis milliseid? (vali sobiv)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Sündmuse elluviimise käigus kasutatavad materjalid on korduskasutatavad – JAH/EI</w:t>
            </w:r>
          </w:p>
          <w:p>
            <w:pPr>
              <w:pStyle w:val="Normal"/>
              <w:widowControl w:val="false"/>
              <w:rPr/>
            </w:pPr>
            <w:r>
              <w:rPr/>
              <w:t>Toitlustamisel välditakse ühekordseid nõusid – JAH/EI</w:t>
            </w:r>
          </w:p>
          <w:p>
            <w:pPr>
              <w:pStyle w:val="Normal"/>
              <w:widowControl w:val="false"/>
              <w:rPr/>
            </w:pPr>
            <w:r>
              <w:rPr/>
              <w:t>Toitlustamisel järele jäänud toidule on tagatud kasutus – JAH/EI</w:t>
            </w:r>
          </w:p>
          <w:p>
            <w:pPr>
              <w:pStyle w:val="Normal"/>
              <w:widowControl w:val="false"/>
              <w:rPr/>
            </w:pPr>
            <w:r>
              <w:rPr/>
              <w:t>Sündmuse elluviimise käigus tekkivaid jäätmeid (nii korraldajate, kauplejate kui ka osalejate) kogutakse liigiti – JAH/EI</w:t>
            </w:r>
          </w:p>
          <w:p>
            <w:pPr>
              <w:pStyle w:val="Normal"/>
              <w:widowControl w:val="false"/>
              <w:rPr/>
            </w:pPr>
            <w:r>
              <w:rPr/>
              <w:t>Sündmuse territoorium heakorrastatakse peale sündmuse toimumist esialgsesse seisu – JAH/EI</w:t>
            </w:r>
          </w:p>
          <w:p>
            <w:pPr>
              <w:pStyle w:val="Normal"/>
              <w:widowControl w:val="false"/>
              <w:rPr/>
            </w:pPr>
            <w:r>
              <w:rPr/>
              <w:t>Ümberkaudsete kinnistute omanikke teavitatakse sündmuse toimumisest vähemalt nädal ette – JAH/EI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46" w:hRule="atLeast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Sündmuse kogu eelarve tegevuste ja rahastajate lõikes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/>
            </w:pPr>
            <w:r>
              <w:rPr/>
              <w:t>Eelarve peab olema tasakaalus st tulud ja kulud peavad olema võrdsed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/>
            </w:pPr>
            <w:r>
              <w:rPr/>
              <w:t xml:space="preserve">Üle 1000-eurose ilma käibemaksuta kulu puhul lisada juurde teenusepakkuja pakkumus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tbl>
            <w:tblPr>
              <w:tblStyle w:val="Kontuurtabel"/>
              <w:tblW w:w="856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282"/>
              <w:gridCol w:w="4282"/>
            </w:tblGrid>
            <w:tr>
              <w:trPr/>
              <w:tc>
                <w:tcPr>
                  <w:tcW w:w="428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kern w:val="0"/>
                      <w:lang w:val="et-EE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val="et-EE" w:bidi="ar-SA"/>
                    </w:rPr>
                    <w:t>TULUD</w:t>
                  </w:r>
                </w:p>
              </w:tc>
              <w:tc>
                <w:tcPr>
                  <w:tcW w:w="428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kern w:val="0"/>
                      <w:lang w:val="et-EE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val="et-EE" w:bidi="ar-SA"/>
                    </w:rPr>
                    <w:t>KULUD</w:t>
                  </w:r>
                </w:p>
              </w:tc>
            </w:tr>
          </w:tbl>
          <w:tbl>
            <w:tblPr>
              <w:tblW w:w="8548" w:type="dxa"/>
              <w:jc w:val="left"/>
              <w:tblInd w:w="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0" w:firstColumn="1" w:lastColumn="0" w:noHBand="0" w:val="00a0"/>
            </w:tblPr>
            <w:tblGrid>
              <w:gridCol w:w="1155"/>
              <w:gridCol w:w="3119"/>
              <w:gridCol w:w="1152"/>
              <w:gridCol w:w="3121"/>
            </w:tblGrid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Summa eurodes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Rahastaja(d)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Summa eurodes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 xml:space="preserve">Kulu sisu ja hinnapakkuja 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KOKKU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KOKKU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Taotleja esindusõiguslik isik: </w:t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08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ahoma"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0"/>
        <w:szCs w:val="20"/>
      </w:rPr>
    </w:pPr>
    <w:r>
      <w:rPr>
        <w:sz w:val="20"/>
        <w:szCs w:val="20"/>
      </w:rPr>
    </w:r>
  </w:p>
  <w:p>
    <w:pPr>
      <w:pStyle w:val="Normal"/>
      <w:rPr>
        <w:sz w:val="20"/>
        <w:szCs w:val="20"/>
      </w:rPr>
    </w:pPr>
    <w:r>
      <w:rPr>
        <w:sz w:val="20"/>
        <w:szCs w:val="20"/>
      </w:rPr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536"/>
        <w:tab w:val="clear" w:pos="9072"/>
        <w:tab w:val="left" w:pos="7455" w:leader="none"/>
      </w:tabs>
      <w:rPr/>
    </w:pPr>
    <w:r>
      <w:rPr/>
      <w:drawing>
        <wp:inline distT="0" distB="0" distL="0" distR="0">
          <wp:extent cx="1139825" cy="1134110"/>
          <wp:effectExtent l="0" t="0" r="0" b="0"/>
          <wp:docPr id="1" name="Pilt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13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972560" cy="1092835"/>
          <wp:effectExtent l="0" t="0" r="0" b="0"/>
          <wp:docPr id="2" name="Pilt 2" descr="2016_uus_leader_logo_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2" descr="2016_uus_leader_logo_cut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72560" cy="109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</w:t>
    </w:r>
  </w:p>
  <w:p>
    <w:pPr>
      <w:pStyle w:val="Normal"/>
      <w:jc w:val="right"/>
      <w:rPr>
        <w:b/>
        <w:b/>
      </w:rPr>
    </w:pPr>
    <w:r>
      <w:rPr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t-EE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t-EE" w:eastAsia="et-E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d7ff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et-E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cb5ed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rsid w:val="00cb5ed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945ad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7a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Normaaltabel"/>
    <w:rsid w:val="00cb5e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D225206A76014E92E050E7241DBD5D" ma:contentTypeVersion="15" ma:contentTypeDescription="Loo uus dokument" ma:contentTypeScope="" ma:versionID="117ad4fa0786f8b0bfa499af5423893d">
  <xsd:schema xmlns:xsd="http://www.w3.org/2001/XMLSchema" xmlns:xs="http://www.w3.org/2001/XMLSchema" xmlns:p="http://schemas.microsoft.com/office/2006/metadata/properties" xmlns:ns2="34306f27-676e-4a7d-8f7e-bf1f615f0899" xmlns:ns3="1b1a2deb-6096-41d3-adcd-a8cec6bd243c" targetNamespace="http://schemas.microsoft.com/office/2006/metadata/properties" ma:root="true" ma:fieldsID="ffd3602320f5cd4de08cd10711957658" ns2:_="" ns3:_="">
    <xsd:import namespace="34306f27-676e-4a7d-8f7e-bf1f615f0899"/>
    <xsd:import namespace="1b1a2deb-6096-41d3-adcd-a8cec6bd2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6f27-676e-4a7d-8f7e-bf1f615f0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Pildisildid" ma:readOnly="false" ma:fieldId="{5cf76f15-5ced-4ddc-b409-7134ff3c332f}" ma:taxonomyMulti="true" ma:sspId="26a3d991-b8a4-40bb-a293-66058d824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a2deb-6096-41d3-adcd-a8cec6bd2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e083d1-4df6-4e2f-82bb-4baf00efa74a}" ma:internalName="TaxCatchAll" ma:showField="CatchAllData" ma:web="1b1a2deb-6096-41d3-adcd-a8cec6bd24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306f27-676e-4a7d-8f7e-bf1f615f0899">
      <Terms xmlns="http://schemas.microsoft.com/office/infopath/2007/PartnerControls"/>
    </lcf76f155ced4ddcb4097134ff3c332f>
    <TaxCatchAll xmlns="1b1a2deb-6096-41d3-adcd-a8cec6bd24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665B-8A61-4550-8610-473DB6BCE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06f27-676e-4a7d-8f7e-bf1f615f0899"/>
    <ds:schemaRef ds:uri="1b1a2deb-6096-41d3-adcd-a8cec6bd2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BD636-EE59-4BCE-A27C-DE204E607C7F}">
  <ds:schemaRefs>
    <ds:schemaRef ds:uri="http://schemas.microsoft.com/office/2006/metadata/properties"/>
    <ds:schemaRef ds:uri="http://schemas.microsoft.com/office/infopath/2007/PartnerControls"/>
    <ds:schemaRef ds:uri="34306f27-676e-4a7d-8f7e-bf1f615f0899"/>
    <ds:schemaRef ds:uri="1b1a2deb-6096-41d3-adcd-a8cec6bd243c"/>
  </ds:schemaRefs>
</ds:datastoreItem>
</file>

<file path=customXml/itemProps3.xml><?xml version="1.0" encoding="utf-8"?>
<ds:datastoreItem xmlns:ds="http://schemas.openxmlformats.org/officeDocument/2006/customXml" ds:itemID="{8D545A78-AEBA-4576-BE28-7DAEC7F462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121760-8291-4CF6-BBDC-CD184BBC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Pages>2</Pages>
  <Words>158</Words>
  <Characters>1231</Characters>
  <CharactersWithSpaces>1426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2022-10-11T21:48:00Z</dcterms:created>
  <dc:creator>kaires</dc:creator>
  <dc:description/>
  <dc:language>et-EE</dc:language>
  <cp:lastModifiedBy>Jana Pärn</cp:lastModifiedBy>
  <cp:lastPrinted>2010-08-12T10:56:00Z</cp:lastPrinted>
  <dcterms:modified xsi:type="dcterms:W3CDTF">2022-10-12T08:15:00Z</dcterms:modified>
  <cp:revision>4</cp:revision>
  <dc:subject/>
  <dc:title>TAOTLEJA ORGANISATSIOONI TUTVUSTUS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0x01010095D225206A76014E92E050E7241DBD5D</vt:lpwstr>
  </property>
  <property fmtid="{D5CDD505-2E9C-101B-9397-08002B2CF9AE}" pid="3" name="MediaServiceImageTags">
    <vt:lpwstr/>
  </property>
</Properties>
</file>